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7E1" w:rsidRDefault="00597B93" w:rsidP="00597B93">
      <w:pPr>
        <w:autoSpaceDE w:val="0"/>
        <w:autoSpaceDN w:val="0"/>
        <w:bidi w:val="0"/>
        <w:adjustRightInd w:val="0"/>
        <w:spacing w:after="0" w:line="240" w:lineRule="auto"/>
        <w:rPr>
          <w:rFonts w:asciiTheme="majorHAnsi" w:hAnsiTheme="majorHAnsi" w:cs="MinionPro-Regular"/>
          <w:b/>
          <w:bCs/>
          <w:color w:val="FF0000"/>
          <w:sz w:val="38"/>
          <w:szCs w:val="38"/>
        </w:rPr>
      </w:pPr>
      <w:r>
        <w:rPr>
          <w:rFonts w:asciiTheme="majorHAnsi" w:hAnsiTheme="majorHAnsi" w:cs="MinionPro-Regular"/>
          <w:b/>
          <w:bCs/>
          <w:noProof/>
          <w:color w:val="FF0000"/>
          <w:sz w:val="38"/>
          <w:szCs w:val="38"/>
        </w:rPr>
        <w:drawing>
          <wp:inline distT="0" distB="0" distL="0" distR="0">
            <wp:extent cx="3648075" cy="3552825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D44" w:rsidRPr="00FD1D44" w:rsidRDefault="00FD1D44" w:rsidP="00FD1D44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Theme="majorHAnsi" w:hAnsiTheme="majorHAnsi" w:cs="MinionPro-Regular"/>
          <w:b/>
          <w:bCs/>
          <w:color w:val="FF0000"/>
          <w:sz w:val="38"/>
          <w:szCs w:val="38"/>
        </w:rPr>
      </w:pPr>
    </w:p>
    <w:p w:rsidR="004C4EB6" w:rsidRPr="00FD1D44" w:rsidRDefault="00373149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  <w:r w:rsidRPr="00FD1D44">
        <w:rPr>
          <w:rFonts w:asciiTheme="majorHAnsi" w:hAnsiTheme="majorHAnsi" w:cs="MinionPro-Regular"/>
          <w:b/>
          <w:bCs/>
          <w:color w:val="FF0000"/>
          <w:sz w:val="30"/>
          <w:szCs w:val="30"/>
        </w:rPr>
        <w:t>Hematuria</w:t>
      </w:r>
      <w:r w:rsidRPr="00FD1D44">
        <w:rPr>
          <w:rFonts w:asciiTheme="majorHAnsi" w:hAnsiTheme="majorHAnsi" w:cs="MinionPro-Regular"/>
          <w:color w:val="FF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is defined as the presence of at least</w:t>
      </w:r>
      <w:r w:rsidR="004B633B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5 red blood cells (RBCs)</w:t>
      </w:r>
      <w:r w:rsidR="004B633B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per microliter of urine and occurs with a prevalence of 0.5-2.0% among</w:t>
      </w:r>
      <w:r w:rsidR="00524F1A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school-age children. </w:t>
      </w:r>
    </w:p>
    <w:p w:rsidR="007B0A9D" w:rsidRDefault="007B0A9D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b/>
          <w:bCs/>
          <w:color w:val="000000"/>
          <w:sz w:val="30"/>
          <w:szCs w:val="30"/>
        </w:rPr>
      </w:pPr>
    </w:p>
    <w:p w:rsidR="0091181C" w:rsidRPr="00FD1D44" w:rsidRDefault="00373149" w:rsidP="007B0A9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  <w:r w:rsidRPr="00FD1D44">
        <w:rPr>
          <w:rFonts w:asciiTheme="majorHAnsi" w:hAnsiTheme="majorHAnsi" w:cs="MinionPro-Regular"/>
          <w:b/>
          <w:bCs/>
          <w:color w:val="000000"/>
          <w:sz w:val="30"/>
          <w:szCs w:val="30"/>
        </w:rPr>
        <w:t>Quantitative studies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demonstrate that normal</w:t>
      </w:r>
      <w:r w:rsidR="00B5087E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children can excrete more than 500,000 RBCs per 12 hr period; this</w:t>
      </w:r>
      <w:r w:rsidR="00B5087E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increases with fever and/or exercise. </w:t>
      </w:r>
    </w:p>
    <w:p w:rsidR="007B0A9D" w:rsidRDefault="007B0A9D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</w:p>
    <w:p w:rsidR="005D1411" w:rsidRPr="00FD1D44" w:rsidRDefault="00373149" w:rsidP="007B0A9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  <w:r w:rsidRPr="00FD1D44">
        <w:rPr>
          <w:rFonts w:asciiTheme="majorHAnsi" w:hAnsiTheme="majorHAnsi" w:cs="MinionPro-Regular"/>
          <w:color w:val="000000"/>
          <w:sz w:val="30"/>
          <w:szCs w:val="30"/>
        </w:rPr>
        <w:t>In the clinical setting, qualitative</w:t>
      </w:r>
      <w:r w:rsidR="0091181C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estimates are provided by a urinary dipstick that uses a very sensitive</w:t>
      </w:r>
      <w:r w:rsidR="005D1411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peroxidase chemical reaction between hemoglobin (or myoglobin) and</w:t>
      </w:r>
      <w:r w:rsidR="005D1411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a colorimetric chemical indicator impregnated on the dipstick. </w:t>
      </w:r>
      <w:r w:rsidRPr="00FD1D44">
        <w:rPr>
          <w:rFonts w:asciiTheme="majorHAnsi" w:hAnsiTheme="majorHAnsi" w:cs="MinionPro-Regular"/>
          <w:b/>
          <w:bCs/>
          <w:color w:val="FF0000"/>
          <w:sz w:val="30"/>
          <w:szCs w:val="30"/>
        </w:rPr>
        <w:t>Chemstrip</w:t>
      </w:r>
      <w:r w:rsidR="005D1411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(Boehringer Mannheim), a common commercially available</w:t>
      </w:r>
      <w:r w:rsidR="005D1411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dipstick, is capable of detecting 3-5 RBCs/</w:t>
      </w:r>
      <w:r w:rsidRPr="00FD1D44">
        <w:rPr>
          <w:rFonts w:asciiTheme="majorHAnsi" w:hAnsiTheme="majorHAnsi" w:cs="SymbolNew-Medium"/>
          <w:color w:val="000000"/>
          <w:sz w:val="30"/>
          <w:szCs w:val="30"/>
        </w:rPr>
        <w:t>μ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L of unspun urine. </w:t>
      </w:r>
    </w:p>
    <w:p w:rsidR="007B0A9D" w:rsidRDefault="007B0A9D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</w:p>
    <w:p w:rsidR="007F4EBB" w:rsidRPr="00FD1D44" w:rsidRDefault="00373149" w:rsidP="007B0A9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  <w:r w:rsidRPr="00FD1D44">
        <w:rPr>
          <w:rFonts w:asciiTheme="majorHAnsi" w:hAnsiTheme="majorHAnsi" w:cs="MinionPro-Regular"/>
          <w:color w:val="000000"/>
          <w:sz w:val="30"/>
          <w:szCs w:val="30"/>
        </w:rPr>
        <w:t>The</w:t>
      </w:r>
      <w:r w:rsidR="005D1411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presence of 10-50 RBCs/</w:t>
      </w:r>
      <w:r w:rsidRPr="00FD1D44">
        <w:rPr>
          <w:rFonts w:asciiTheme="majorHAnsi" w:hAnsiTheme="majorHAnsi" w:cs="SymbolNew-Medium"/>
          <w:color w:val="000000"/>
          <w:sz w:val="30"/>
          <w:szCs w:val="30"/>
        </w:rPr>
        <w:t>μ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L may suggest underlying pathology, but</w:t>
      </w:r>
      <w:r w:rsidR="00DA0270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significant hematuria is generally considered as </w:t>
      </w:r>
      <w:r w:rsidRPr="00FD1D44">
        <w:rPr>
          <w:rFonts w:asciiTheme="majorHAnsi" w:hAnsiTheme="majorHAnsi" w:cs="SymbolNew-Medium"/>
          <w:color w:val="000000"/>
          <w:sz w:val="30"/>
          <w:szCs w:val="30"/>
        </w:rPr>
        <w:t>&gt;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50 RBCs/</w:t>
      </w:r>
      <w:r w:rsidRPr="00FD1D44">
        <w:rPr>
          <w:rFonts w:asciiTheme="majorHAnsi" w:hAnsiTheme="majorHAnsi" w:cs="SymbolNew-Medium"/>
          <w:color w:val="000000"/>
          <w:sz w:val="30"/>
          <w:szCs w:val="30"/>
        </w:rPr>
        <w:t>μ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L. </w:t>
      </w:r>
    </w:p>
    <w:p w:rsidR="007B0A9D" w:rsidRDefault="007B0A9D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b/>
          <w:bCs/>
          <w:color w:val="C00000"/>
          <w:sz w:val="30"/>
          <w:szCs w:val="30"/>
        </w:rPr>
      </w:pPr>
    </w:p>
    <w:p w:rsidR="00105CB8" w:rsidRPr="00FD1D44" w:rsidRDefault="00373149" w:rsidP="007B0A9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  <w:r w:rsidRPr="00FD1D44">
        <w:rPr>
          <w:rFonts w:asciiTheme="majorHAnsi" w:hAnsiTheme="majorHAnsi" w:cs="MinionPro-Regular"/>
          <w:b/>
          <w:bCs/>
          <w:color w:val="C00000"/>
          <w:sz w:val="30"/>
          <w:szCs w:val="30"/>
        </w:rPr>
        <w:t>False</w:t>
      </w:r>
      <w:r w:rsidR="007F4EBB" w:rsidRPr="00FD1D44">
        <w:rPr>
          <w:rFonts w:asciiTheme="majorHAnsi" w:hAnsiTheme="majorHAnsi" w:cs="MinionPro-Regular"/>
          <w:b/>
          <w:bCs/>
          <w:color w:val="C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b/>
          <w:bCs/>
          <w:color w:val="C00000"/>
          <w:sz w:val="30"/>
          <w:szCs w:val="30"/>
        </w:rPr>
        <w:t>negative</w:t>
      </w:r>
      <w:r w:rsidR="007F4EBB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results can occur in the presence of formalin (used as a urine</w:t>
      </w:r>
      <w:r w:rsidR="003E7FE3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preservative) or high urinary concentrations of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lastRenderedPageBreak/>
        <w:t>ascorbic acid (i.e.,</w:t>
      </w:r>
      <w:r w:rsidR="00105CB8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in</w:t>
      </w:r>
      <w:r w:rsidR="00105CB8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patients with vitamin C intake </w:t>
      </w:r>
      <w:r w:rsidRPr="00FD1D44">
        <w:rPr>
          <w:rFonts w:asciiTheme="majorHAnsi" w:hAnsiTheme="majorHAnsi" w:cs="SymbolNew-Medium"/>
          <w:color w:val="000000"/>
          <w:sz w:val="30"/>
          <w:szCs w:val="30"/>
        </w:rPr>
        <w:t>&gt;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2000 mg/day). </w:t>
      </w:r>
    </w:p>
    <w:p w:rsidR="00B9772D" w:rsidRDefault="00B9772D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b/>
          <w:bCs/>
          <w:color w:val="C00000"/>
          <w:sz w:val="30"/>
          <w:szCs w:val="30"/>
        </w:rPr>
      </w:pPr>
    </w:p>
    <w:p w:rsidR="00373149" w:rsidRPr="00FD1D44" w:rsidRDefault="00373149" w:rsidP="00B9772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  <w:r w:rsidRPr="00FD1D44">
        <w:rPr>
          <w:rFonts w:asciiTheme="majorHAnsi" w:hAnsiTheme="majorHAnsi" w:cs="MinionPro-Regular"/>
          <w:b/>
          <w:bCs/>
          <w:color w:val="C00000"/>
          <w:sz w:val="30"/>
          <w:szCs w:val="30"/>
        </w:rPr>
        <w:t>False-positive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results</w:t>
      </w:r>
      <w:r w:rsidR="00586F7A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may be seen in a child with an alkaline urine (pH </w:t>
      </w:r>
      <w:r w:rsidRPr="00FD1D44">
        <w:rPr>
          <w:rFonts w:asciiTheme="majorHAnsi" w:hAnsiTheme="majorHAnsi" w:cs="SymbolNew-Medium"/>
          <w:color w:val="000000"/>
          <w:sz w:val="30"/>
          <w:szCs w:val="30"/>
        </w:rPr>
        <w:t xml:space="preserve">&gt;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8), or more commonly</w:t>
      </w:r>
      <w:r w:rsidR="00586F7A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following contamination with oxidizing agents such as hydrogen</w:t>
      </w:r>
      <w:r w:rsidR="00586F7A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peroxide used to clean the perineum before obtaining a specimen.</w:t>
      </w:r>
    </w:p>
    <w:p w:rsidR="00B9772D" w:rsidRDefault="00B9772D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b/>
          <w:bCs/>
          <w:color w:val="FF0000"/>
          <w:sz w:val="30"/>
          <w:szCs w:val="30"/>
        </w:rPr>
      </w:pPr>
    </w:p>
    <w:p w:rsidR="00373149" w:rsidRPr="00FD1D44" w:rsidRDefault="00373149" w:rsidP="00B9772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  <w:r w:rsidRPr="00FD1D44">
        <w:rPr>
          <w:rFonts w:asciiTheme="majorHAnsi" w:hAnsiTheme="majorHAnsi" w:cs="MinionPro-Regular"/>
          <w:b/>
          <w:bCs/>
          <w:color w:val="FF0000"/>
          <w:sz w:val="30"/>
          <w:szCs w:val="30"/>
        </w:rPr>
        <w:t>Microscopic analysis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of 10-15 mL of freshly voided and centrifuged</w:t>
      </w:r>
      <w:r w:rsidR="000861E7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urine is essential in confirming the presence of RBCs suggested by</w:t>
      </w:r>
      <w:r w:rsidR="00C04758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SymbolNew-Medium"/>
          <w:color w:val="000000"/>
          <w:sz w:val="30"/>
          <w:szCs w:val="30"/>
        </w:rPr>
        <w:t>&gt;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10 RBCs/</w:t>
      </w:r>
      <w:r w:rsidRPr="00FD1D44">
        <w:rPr>
          <w:rFonts w:asciiTheme="majorHAnsi" w:hAnsiTheme="majorHAnsi" w:cs="SymbolNew-Medium"/>
          <w:color w:val="000000"/>
          <w:sz w:val="30"/>
          <w:szCs w:val="30"/>
        </w:rPr>
        <w:t>μ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L, or a 1</w:t>
      </w:r>
      <w:r w:rsidRPr="00FD1D44">
        <w:rPr>
          <w:rFonts w:asciiTheme="majorHAnsi" w:hAnsiTheme="majorHAnsi" w:cs="SymbolNew-Medium"/>
          <w:color w:val="000000"/>
          <w:sz w:val="30"/>
          <w:szCs w:val="30"/>
        </w:rPr>
        <w:t xml:space="preserve">+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positive urinary dipstick reading.</w:t>
      </w:r>
    </w:p>
    <w:p w:rsidR="00B9772D" w:rsidRDefault="00B9772D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b/>
          <w:bCs/>
          <w:color w:val="FF0000"/>
          <w:sz w:val="30"/>
          <w:szCs w:val="30"/>
          <w:u w:val="single"/>
        </w:rPr>
      </w:pPr>
    </w:p>
    <w:p w:rsidR="000D180D" w:rsidRPr="00FD1D44" w:rsidRDefault="00373149" w:rsidP="00B9772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  <w:r w:rsidRPr="00B9772D">
        <w:rPr>
          <w:rFonts w:asciiTheme="majorHAnsi" w:hAnsiTheme="majorHAnsi" w:cs="MinionPro-Regular"/>
          <w:b/>
          <w:bCs/>
          <w:color w:val="244061" w:themeColor="accent1" w:themeShade="80"/>
          <w:sz w:val="30"/>
          <w:szCs w:val="30"/>
          <w:u w:val="single"/>
        </w:rPr>
        <w:t xml:space="preserve">Red urine </w:t>
      </w:r>
      <w:r w:rsidRPr="00B9772D">
        <w:rPr>
          <w:rFonts w:asciiTheme="majorHAnsi" w:hAnsiTheme="majorHAnsi" w:cs="MinionPro-Bold"/>
          <w:b/>
          <w:bCs/>
          <w:color w:val="244061" w:themeColor="accent1" w:themeShade="80"/>
          <w:sz w:val="30"/>
          <w:szCs w:val="30"/>
          <w:u w:val="single"/>
        </w:rPr>
        <w:t xml:space="preserve">without </w:t>
      </w:r>
      <w:r w:rsidRPr="00B9772D">
        <w:rPr>
          <w:rFonts w:asciiTheme="majorHAnsi" w:hAnsiTheme="majorHAnsi" w:cs="MinionPro-Regular"/>
          <w:b/>
          <w:bCs/>
          <w:color w:val="244061" w:themeColor="accent1" w:themeShade="80"/>
          <w:sz w:val="30"/>
          <w:szCs w:val="30"/>
          <w:u w:val="single"/>
        </w:rPr>
        <w:t>RBCs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is seen in a number of conditions (</w:t>
      </w:r>
      <w:r w:rsidRPr="00FD1D44">
        <w:rPr>
          <w:rFonts w:asciiTheme="majorHAnsi" w:hAnsiTheme="majorHAnsi" w:cs="MinionPro-Regular"/>
          <w:color w:val="0081AD"/>
          <w:sz w:val="30"/>
          <w:szCs w:val="30"/>
        </w:rPr>
        <w:t>Table</w:t>
      </w:r>
      <w:r w:rsidR="000D180D" w:rsidRPr="00FD1D44">
        <w:rPr>
          <w:rFonts w:asciiTheme="majorHAnsi" w:hAnsiTheme="majorHAnsi" w:cs="MinionPro-Regular"/>
          <w:color w:val="0081AD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81AD"/>
          <w:sz w:val="30"/>
          <w:szCs w:val="30"/>
        </w:rPr>
        <w:t>509-1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). </w:t>
      </w:r>
    </w:p>
    <w:p w:rsidR="006E4596" w:rsidRPr="006E4596" w:rsidRDefault="00373149" w:rsidP="006E4596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b/>
          <w:bCs/>
          <w:color w:val="C00000"/>
          <w:sz w:val="30"/>
          <w:szCs w:val="30"/>
        </w:rPr>
      </w:pPr>
      <w:r w:rsidRPr="006E4596">
        <w:rPr>
          <w:rFonts w:asciiTheme="majorHAnsi" w:hAnsiTheme="majorHAnsi" w:cs="MinionPro-Regular"/>
          <w:color w:val="000000"/>
          <w:sz w:val="30"/>
          <w:szCs w:val="30"/>
        </w:rPr>
        <w:t xml:space="preserve">Clinically significant </w:t>
      </w:r>
      <w:r w:rsidRPr="006E4596">
        <w:rPr>
          <w:rFonts w:asciiTheme="majorHAnsi" w:hAnsiTheme="majorHAnsi" w:cs="MinionPro-Regular"/>
          <w:b/>
          <w:bCs/>
          <w:color w:val="000000"/>
          <w:sz w:val="30"/>
          <w:szCs w:val="30"/>
        </w:rPr>
        <w:t>heme-positive urine</w:t>
      </w:r>
      <w:r w:rsidRPr="006E4596">
        <w:rPr>
          <w:rFonts w:asciiTheme="majorHAnsi" w:hAnsiTheme="majorHAnsi" w:cs="MinionPro-Regular"/>
          <w:color w:val="000000"/>
          <w:sz w:val="30"/>
          <w:szCs w:val="30"/>
        </w:rPr>
        <w:t xml:space="preserve"> without RBCs may</w:t>
      </w:r>
      <w:r w:rsidR="000D180D" w:rsidRPr="006E4596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="00D056C0" w:rsidRPr="006E4596">
        <w:rPr>
          <w:rFonts w:asciiTheme="majorHAnsi" w:hAnsiTheme="majorHAnsi" w:cs="MinionPro-Regular"/>
          <w:color w:val="000000"/>
          <w:sz w:val="30"/>
          <w:szCs w:val="30"/>
        </w:rPr>
        <w:t xml:space="preserve">be caused by the presence of either hemoglobin or myoglobin. </w:t>
      </w:r>
    </w:p>
    <w:p w:rsidR="006E4596" w:rsidRDefault="006E4596" w:rsidP="006E459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b/>
          <w:bCs/>
          <w:color w:val="C00000"/>
          <w:sz w:val="30"/>
          <w:szCs w:val="30"/>
        </w:rPr>
      </w:pPr>
    </w:p>
    <w:p w:rsidR="002D6B53" w:rsidRPr="00FD1D44" w:rsidRDefault="00D056C0" w:rsidP="006E459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  <w:r w:rsidRPr="006E4596">
        <w:rPr>
          <w:rFonts w:asciiTheme="majorHAnsi" w:hAnsiTheme="majorHAnsi" w:cs="MinionPro-Regular"/>
          <w:b/>
          <w:bCs/>
          <w:color w:val="244061" w:themeColor="accent1" w:themeShade="80"/>
          <w:sz w:val="30"/>
          <w:szCs w:val="30"/>
        </w:rPr>
        <w:t>Hemoglobinuria</w:t>
      </w:r>
      <w:r w:rsidR="00885278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without hematuria can occur in the presence of acute or</w:t>
      </w:r>
      <w:r w:rsidR="002D6B53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chronic hemolysis. </w:t>
      </w:r>
    </w:p>
    <w:p w:rsidR="006E4596" w:rsidRDefault="006E4596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b/>
          <w:bCs/>
          <w:color w:val="C00000"/>
          <w:sz w:val="30"/>
          <w:szCs w:val="30"/>
        </w:rPr>
      </w:pPr>
    </w:p>
    <w:p w:rsidR="00C636F0" w:rsidRDefault="00D056C0" w:rsidP="006E459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  <w:r w:rsidRPr="006E4596">
        <w:rPr>
          <w:rFonts w:asciiTheme="majorHAnsi" w:hAnsiTheme="majorHAnsi" w:cs="MinionPro-Regular"/>
          <w:b/>
          <w:bCs/>
          <w:color w:val="244061" w:themeColor="accent1" w:themeShade="80"/>
          <w:sz w:val="30"/>
          <w:szCs w:val="30"/>
        </w:rPr>
        <w:t>Myoglobinuria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without hematuria occurs in the</w:t>
      </w:r>
      <w:r w:rsidR="00FA38E0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presence of </w:t>
      </w:r>
      <w:r w:rsidRPr="00FD1D44">
        <w:rPr>
          <w:rFonts w:asciiTheme="majorHAnsi" w:hAnsiTheme="majorHAnsi" w:cs="MinionPro-Regular"/>
          <w:color w:val="0070C0"/>
          <w:sz w:val="30"/>
          <w:szCs w:val="30"/>
        </w:rPr>
        <w:t>rhabdomyolysis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resulting from skeletal muscle injury and</w:t>
      </w:r>
      <w:r w:rsidR="00FA38E0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is generally associated with a 5-fold increase in the plasma concentration</w:t>
      </w:r>
      <w:r w:rsidR="000010F8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of creatinine kinase.</w:t>
      </w:r>
      <w:r w:rsidR="006E4596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b/>
          <w:bCs/>
          <w:color w:val="0070C0"/>
          <w:sz w:val="30"/>
          <w:szCs w:val="30"/>
        </w:rPr>
        <w:t xml:space="preserve">Rhabdomyolysis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is always clinically significant</w:t>
      </w:r>
      <w:r w:rsidR="00A16C87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as it may lead to acute renal injury. It can</w:t>
      </w:r>
      <w:r w:rsidR="006E4596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occur</w:t>
      </w:r>
      <w:r w:rsidR="001D675C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secondary to viral</w:t>
      </w:r>
      <w:r w:rsidR="00667918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myositis, crush injury, severe electrolyte abnormalities (hypernatremia,</w:t>
      </w:r>
      <w:r w:rsidR="001F1D20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hypophosphatemia),</w:t>
      </w:r>
      <w:r w:rsidR="001D675C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hypotension, disseminated intravascular</w:t>
      </w:r>
      <w:r w:rsidR="00C636F0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coagulation, toxins (drugs, venom), metabolic disorders of muscles,</w:t>
      </w:r>
      <w:r w:rsidR="00C636F0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and prolonged seizures. </w:t>
      </w:r>
    </w:p>
    <w:p w:rsidR="006E4596" w:rsidRPr="00FD1D44" w:rsidRDefault="006E4596" w:rsidP="006E4596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</w:p>
    <w:p w:rsidR="00D056C0" w:rsidRPr="006E4596" w:rsidRDefault="00D056C0" w:rsidP="006E4596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  <w:r w:rsidRPr="006E4596">
        <w:rPr>
          <w:rFonts w:asciiTheme="majorHAnsi" w:hAnsiTheme="majorHAnsi" w:cs="MinionPro-Regular"/>
          <w:color w:val="000000"/>
          <w:sz w:val="30"/>
          <w:szCs w:val="30"/>
        </w:rPr>
        <w:t>Clinically innocuous heme-negative urine can</w:t>
      </w:r>
      <w:r w:rsidR="001D675C" w:rsidRPr="006E4596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6E4596">
        <w:rPr>
          <w:rFonts w:asciiTheme="majorHAnsi" w:hAnsiTheme="majorHAnsi" w:cs="MinionPro-Regular"/>
          <w:color w:val="000000"/>
          <w:sz w:val="30"/>
          <w:szCs w:val="30"/>
        </w:rPr>
        <w:t xml:space="preserve">appear </w:t>
      </w:r>
      <w:r w:rsidRPr="006E4596">
        <w:rPr>
          <w:rFonts w:asciiTheme="majorHAnsi" w:hAnsiTheme="majorHAnsi" w:cs="MinionPro-Regular"/>
          <w:b/>
          <w:bCs/>
          <w:color w:val="000000"/>
          <w:sz w:val="30"/>
          <w:szCs w:val="30"/>
        </w:rPr>
        <w:t>red, cola colored, or burgundy</w:t>
      </w:r>
      <w:r w:rsidRPr="006E4596">
        <w:rPr>
          <w:rFonts w:asciiTheme="majorHAnsi" w:hAnsiTheme="majorHAnsi" w:cs="MinionPro-Regular"/>
          <w:color w:val="000000"/>
          <w:sz w:val="30"/>
          <w:szCs w:val="30"/>
        </w:rPr>
        <w:t>, owing to ingestion of various</w:t>
      </w:r>
      <w:r w:rsidR="001D675C" w:rsidRPr="006E4596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6E4596">
        <w:rPr>
          <w:rFonts w:asciiTheme="majorHAnsi" w:hAnsiTheme="majorHAnsi" w:cs="MinionPro-Regular"/>
          <w:color w:val="000000"/>
          <w:sz w:val="30"/>
          <w:szCs w:val="30"/>
        </w:rPr>
        <w:t>drugs, foods (blackberries, beets), or dyes used in food and candy,</w:t>
      </w:r>
      <w:r w:rsidR="001D675C" w:rsidRPr="006E4596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6E4596">
        <w:rPr>
          <w:rFonts w:asciiTheme="majorHAnsi" w:hAnsiTheme="majorHAnsi" w:cs="MinionPro-Regular"/>
          <w:color w:val="000000"/>
          <w:sz w:val="30"/>
          <w:szCs w:val="30"/>
        </w:rPr>
        <w:t xml:space="preserve">whereas </w:t>
      </w:r>
      <w:r w:rsidRPr="006E4596">
        <w:rPr>
          <w:rFonts w:asciiTheme="majorHAnsi" w:hAnsiTheme="majorHAnsi" w:cs="MinionPro-Regular"/>
          <w:b/>
          <w:bCs/>
          <w:color w:val="000000"/>
          <w:sz w:val="30"/>
          <w:szCs w:val="30"/>
        </w:rPr>
        <w:t>dark brown (or black)</w:t>
      </w:r>
      <w:r w:rsidRPr="006E4596">
        <w:rPr>
          <w:rFonts w:asciiTheme="majorHAnsi" w:hAnsiTheme="majorHAnsi" w:cs="MinionPro-Regular"/>
          <w:color w:val="000000"/>
          <w:sz w:val="30"/>
          <w:szCs w:val="30"/>
        </w:rPr>
        <w:t xml:space="preserve"> urine can result from various urinary</w:t>
      </w:r>
      <w:r w:rsidR="001D675C" w:rsidRPr="006E4596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6E4596">
        <w:rPr>
          <w:rFonts w:asciiTheme="majorHAnsi" w:hAnsiTheme="majorHAnsi" w:cs="MinionPro-Regular"/>
          <w:color w:val="000000"/>
          <w:sz w:val="30"/>
          <w:szCs w:val="30"/>
        </w:rPr>
        <w:t>metabolites.</w:t>
      </w:r>
    </w:p>
    <w:p w:rsidR="00B30E0E" w:rsidRPr="00FD1D44" w:rsidRDefault="00B30E0E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</w:p>
    <w:p w:rsidR="003049A8" w:rsidRPr="00FD1D44" w:rsidRDefault="00D056C0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  <w:r w:rsidRPr="00FD1D44">
        <w:rPr>
          <w:rFonts w:asciiTheme="majorHAnsi" w:hAnsiTheme="majorHAnsi" w:cs="MinionPro-Regular"/>
          <w:b/>
          <w:bCs/>
          <w:color w:val="FF0000"/>
          <w:sz w:val="30"/>
          <w:szCs w:val="30"/>
        </w:rPr>
        <w:lastRenderedPageBreak/>
        <w:t>Evaluation of the child with hematuria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begins with a careful history,</w:t>
      </w:r>
      <w:r w:rsidR="003049A8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physical examination, and urinalysis. </w:t>
      </w:r>
    </w:p>
    <w:p w:rsidR="00AB74A3" w:rsidRDefault="00AB74A3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</w:p>
    <w:p w:rsidR="00D056C0" w:rsidRPr="00FD1D44" w:rsidRDefault="00D056C0" w:rsidP="00AB74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  <w:r w:rsidRPr="00FD1D44">
        <w:rPr>
          <w:rFonts w:asciiTheme="majorHAnsi" w:hAnsiTheme="majorHAnsi" w:cs="MinionPro-Regular"/>
          <w:color w:val="000000"/>
          <w:sz w:val="30"/>
          <w:szCs w:val="30"/>
        </w:rPr>
        <w:t>This information is used to determine</w:t>
      </w:r>
      <w:r w:rsidR="003049A8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the level of hematuria (upper vs lower urinary tract) and to</w:t>
      </w:r>
      <w:r w:rsidR="003049A8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determine the urgency of the evaluation based on symptomatology.</w:t>
      </w:r>
    </w:p>
    <w:p w:rsidR="00AB74A3" w:rsidRDefault="00AB74A3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</w:p>
    <w:p w:rsidR="00D056C0" w:rsidRPr="00FD1D44" w:rsidRDefault="00D056C0" w:rsidP="00AB74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  <w:r w:rsidRPr="00FD1D44">
        <w:rPr>
          <w:rFonts w:asciiTheme="majorHAnsi" w:hAnsiTheme="majorHAnsi" w:cs="MinionPro-Regular"/>
          <w:color w:val="000000"/>
          <w:sz w:val="30"/>
          <w:szCs w:val="30"/>
        </w:rPr>
        <w:t>Special consideration needs to be given to family history, identification</w:t>
      </w:r>
      <w:r w:rsidR="003049A8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of anatomic abnormalities and malformation syndromes, presence of</w:t>
      </w:r>
      <w:r w:rsidR="003049A8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gross hematuria, and manifestations of hypertension, edema, or heart</w:t>
      </w:r>
      <w:r w:rsidR="003049A8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failure.</w:t>
      </w:r>
    </w:p>
    <w:p w:rsidR="00AB74A3" w:rsidRDefault="00AB74A3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</w:p>
    <w:p w:rsidR="009351E8" w:rsidRPr="00FD1D44" w:rsidRDefault="00D056C0" w:rsidP="00AB74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Table 509-2 lists causes of hematuria. </w:t>
      </w:r>
    </w:p>
    <w:p w:rsidR="009351E8" w:rsidRPr="00FD1D44" w:rsidRDefault="00D056C0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  <w:r w:rsidRPr="00FD1D44">
        <w:rPr>
          <w:rFonts w:asciiTheme="majorHAnsi" w:hAnsiTheme="majorHAnsi" w:cs="MinionPro-Regular"/>
          <w:b/>
          <w:bCs/>
          <w:color w:val="0070C0"/>
          <w:sz w:val="30"/>
          <w:szCs w:val="30"/>
        </w:rPr>
        <w:t>Upper urinary tract sources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of</w:t>
      </w:r>
      <w:r w:rsidR="003049A8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hematuria originate within the nephron (glomerulus,</w:t>
      </w:r>
      <w:r w:rsidR="009351E8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tubular system,</w:t>
      </w:r>
      <w:r w:rsidR="009351E8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or interstitium). </w:t>
      </w:r>
    </w:p>
    <w:p w:rsidR="001F7913" w:rsidRPr="00FD1D44" w:rsidRDefault="00D056C0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  <w:r w:rsidRPr="00FD1D44">
        <w:rPr>
          <w:rFonts w:asciiTheme="majorHAnsi" w:hAnsiTheme="majorHAnsi" w:cs="MinionPro-Regular"/>
          <w:b/>
          <w:bCs/>
          <w:color w:val="0070C0"/>
          <w:sz w:val="30"/>
          <w:szCs w:val="30"/>
        </w:rPr>
        <w:t>Lower urinary tract sources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of hematuria originate</w:t>
      </w:r>
      <w:r w:rsidR="001F7913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from the pelvocaliceal system, ureter, bladder, or urethra. </w:t>
      </w:r>
    </w:p>
    <w:p w:rsidR="00AB74A3" w:rsidRDefault="00AB74A3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b/>
          <w:bCs/>
          <w:color w:val="C00000"/>
          <w:sz w:val="30"/>
          <w:szCs w:val="30"/>
        </w:rPr>
      </w:pPr>
    </w:p>
    <w:p w:rsidR="000C421F" w:rsidRPr="00FD1D44" w:rsidRDefault="00D056C0" w:rsidP="00AB74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b/>
          <w:bCs/>
          <w:color w:val="C00000"/>
          <w:sz w:val="30"/>
          <w:szCs w:val="30"/>
        </w:rPr>
      </w:pPr>
      <w:r w:rsidRPr="00FD1D44">
        <w:rPr>
          <w:rFonts w:asciiTheme="majorHAnsi" w:hAnsiTheme="majorHAnsi" w:cs="MinionPro-Regular"/>
          <w:b/>
          <w:bCs/>
          <w:color w:val="C00000"/>
          <w:sz w:val="30"/>
          <w:szCs w:val="30"/>
        </w:rPr>
        <w:t>Hematuria</w:t>
      </w:r>
      <w:r w:rsidR="001F7913" w:rsidRPr="00FD1D44">
        <w:rPr>
          <w:rFonts w:asciiTheme="majorHAnsi" w:hAnsiTheme="majorHAnsi" w:cs="MinionPro-Regular"/>
          <w:b/>
          <w:bCs/>
          <w:color w:val="C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b/>
          <w:bCs/>
          <w:color w:val="C00000"/>
          <w:sz w:val="30"/>
          <w:szCs w:val="30"/>
        </w:rPr>
        <w:t>from within the glomerulus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is often associated with brown, cola- or</w:t>
      </w:r>
      <w:r w:rsidR="001F7913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tea-colored, or burgundy urine, proteinuria &gt;100 mg/dL via dipstick,</w:t>
      </w:r>
      <w:r w:rsidR="00625162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urinary microscopic findings of RBC casts, and deformed urinary</w:t>
      </w:r>
      <w:r w:rsidR="00894638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RBCs (particularly acanthocytes). </w:t>
      </w:r>
    </w:p>
    <w:p w:rsidR="00AB74A3" w:rsidRDefault="00AB74A3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b/>
          <w:bCs/>
          <w:color w:val="C00000"/>
          <w:sz w:val="30"/>
          <w:szCs w:val="30"/>
        </w:rPr>
      </w:pPr>
    </w:p>
    <w:p w:rsidR="00F079F0" w:rsidRPr="00FD1D44" w:rsidRDefault="00D056C0" w:rsidP="00AB74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  <w:r w:rsidRPr="00FD1D44">
        <w:rPr>
          <w:rFonts w:asciiTheme="majorHAnsi" w:hAnsiTheme="majorHAnsi" w:cs="MinionPro-Regular"/>
          <w:b/>
          <w:bCs/>
          <w:color w:val="C00000"/>
          <w:sz w:val="30"/>
          <w:szCs w:val="30"/>
        </w:rPr>
        <w:t>Hematuria originating within the</w:t>
      </w:r>
      <w:r w:rsidR="00474567" w:rsidRPr="00FD1D44">
        <w:rPr>
          <w:rFonts w:asciiTheme="majorHAnsi" w:hAnsiTheme="majorHAnsi" w:cs="MinionPro-Regular"/>
          <w:b/>
          <w:bCs/>
          <w:color w:val="C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b/>
          <w:bCs/>
          <w:color w:val="C00000"/>
          <w:sz w:val="30"/>
          <w:szCs w:val="30"/>
        </w:rPr>
        <w:t>tubular system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may be associated with the presence of leukocytes or</w:t>
      </w:r>
      <w:r w:rsidR="00474567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renal tubular casts. </w:t>
      </w:r>
    </w:p>
    <w:p w:rsidR="00AB74A3" w:rsidRDefault="00AB74A3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b/>
          <w:bCs/>
          <w:color w:val="C00000"/>
          <w:sz w:val="30"/>
          <w:szCs w:val="30"/>
        </w:rPr>
      </w:pPr>
    </w:p>
    <w:p w:rsidR="00D056C0" w:rsidRPr="00FD1D44" w:rsidRDefault="00D056C0" w:rsidP="00AB74A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  <w:r w:rsidRPr="00FD1D44">
        <w:rPr>
          <w:rFonts w:asciiTheme="majorHAnsi" w:hAnsiTheme="majorHAnsi" w:cs="MinionPro-Regular"/>
          <w:b/>
          <w:bCs/>
          <w:color w:val="C00000"/>
          <w:sz w:val="30"/>
          <w:szCs w:val="30"/>
        </w:rPr>
        <w:t>Lower urinary tract sources of hematuria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may be</w:t>
      </w:r>
      <w:r w:rsidR="00A42056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associated with gross hematuria that is bright red or pink, terminal</w:t>
      </w:r>
      <w:r w:rsidR="002C41F9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hematuria (gross hematuria occurring at the end of the urine stream),</w:t>
      </w:r>
      <w:r w:rsidR="002C41F9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blood clots, normal urinary RBC morphology, and minimal proteinuria</w:t>
      </w:r>
      <w:r w:rsidR="008C429A" w:rsidRPr="00FD1D44">
        <w:rPr>
          <w:rFonts w:asciiTheme="majorHAnsi" w:hAnsiTheme="majorHAnsi" w:cs="MinionPro-Regular"/>
          <w:color w:val="000000"/>
          <w:sz w:val="30"/>
          <w:szCs w:val="30"/>
        </w:rPr>
        <w:t xml:space="preserve"> </w:t>
      </w:r>
      <w:r w:rsidRPr="00FD1D44">
        <w:rPr>
          <w:rFonts w:asciiTheme="majorHAnsi" w:hAnsiTheme="majorHAnsi" w:cs="MinionPro-Regular"/>
          <w:color w:val="000000"/>
          <w:sz w:val="30"/>
          <w:szCs w:val="30"/>
        </w:rPr>
        <w:t>on dipstick (&lt;100 mg/dL).</w:t>
      </w:r>
    </w:p>
    <w:p w:rsidR="00AB74A3" w:rsidRDefault="00AB74A3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b/>
          <w:bCs/>
          <w:color w:val="000000"/>
          <w:sz w:val="30"/>
          <w:szCs w:val="30"/>
        </w:rPr>
      </w:pPr>
    </w:p>
    <w:p w:rsidR="00CA4D0D" w:rsidRPr="00FD1D44" w:rsidRDefault="00CA4D0D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  <w:r w:rsidRPr="00FD1D44">
        <w:rPr>
          <w:rFonts w:asciiTheme="majorHAnsi" w:hAnsiTheme="majorHAnsi" w:cs="MinionPro-Regular"/>
          <w:noProof/>
          <w:color w:val="000000"/>
          <w:sz w:val="30"/>
          <w:szCs w:val="30"/>
        </w:rPr>
        <w:lastRenderedPageBreak/>
        <w:drawing>
          <wp:inline distT="0" distB="0" distL="0" distR="0">
            <wp:extent cx="5591175" cy="4189913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189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520" w:rsidRPr="00FD1D44" w:rsidRDefault="00660520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</w:p>
    <w:p w:rsidR="00660520" w:rsidRPr="00FD1D44" w:rsidRDefault="00660520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</w:p>
    <w:p w:rsidR="00660520" w:rsidRPr="00FD1D44" w:rsidRDefault="00660520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  <w:r w:rsidRPr="00FD1D44">
        <w:rPr>
          <w:rFonts w:asciiTheme="majorHAnsi" w:hAnsiTheme="majorHAnsi" w:cs="MinionPro-Regular"/>
          <w:noProof/>
          <w:color w:val="000000"/>
          <w:sz w:val="30"/>
          <w:szCs w:val="30"/>
        </w:rPr>
        <w:lastRenderedPageBreak/>
        <w:drawing>
          <wp:inline distT="0" distB="0" distL="0" distR="0">
            <wp:extent cx="5276850" cy="82772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243" cy="8280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5B3" w:rsidRPr="00FD1D44" w:rsidRDefault="004D65B3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  <w:r w:rsidRPr="00FD1D44">
        <w:rPr>
          <w:rFonts w:asciiTheme="majorHAnsi" w:hAnsiTheme="majorHAnsi" w:cs="MinionPro-Regular"/>
          <w:noProof/>
          <w:color w:val="000000"/>
          <w:sz w:val="30"/>
          <w:szCs w:val="30"/>
        </w:rPr>
        <w:lastRenderedPageBreak/>
        <w:drawing>
          <wp:inline distT="0" distB="0" distL="0" distR="0">
            <wp:extent cx="5276850" cy="3627016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627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0AB" w:rsidRPr="00FD1D44" w:rsidRDefault="009070AB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</w:p>
    <w:p w:rsidR="009070AB" w:rsidRPr="00FD1D44" w:rsidRDefault="009070AB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</w:p>
    <w:p w:rsidR="009070AB" w:rsidRPr="00FD1D44" w:rsidRDefault="009070AB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</w:p>
    <w:p w:rsidR="009070AB" w:rsidRPr="00FD1D44" w:rsidRDefault="009070AB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</w:p>
    <w:p w:rsidR="009070AB" w:rsidRPr="00FD1D44" w:rsidRDefault="009070AB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</w:p>
    <w:p w:rsidR="009070AB" w:rsidRPr="00FD1D44" w:rsidRDefault="009070AB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</w:p>
    <w:p w:rsidR="009070AB" w:rsidRPr="00FD1D44" w:rsidRDefault="009070AB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</w:p>
    <w:p w:rsidR="009070AB" w:rsidRPr="00FD1D44" w:rsidRDefault="009070AB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</w:p>
    <w:p w:rsidR="009070AB" w:rsidRPr="00FD1D44" w:rsidRDefault="009070AB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</w:p>
    <w:p w:rsidR="009070AB" w:rsidRPr="00FD1D44" w:rsidRDefault="009070AB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</w:p>
    <w:p w:rsidR="009070AB" w:rsidRPr="00FD1D44" w:rsidRDefault="009070AB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</w:p>
    <w:p w:rsidR="009070AB" w:rsidRPr="00FD1D44" w:rsidRDefault="009070AB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</w:p>
    <w:p w:rsidR="009070AB" w:rsidRPr="00FD1D44" w:rsidRDefault="009070AB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</w:p>
    <w:p w:rsidR="009070AB" w:rsidRPr="00FD1D44" w:rsidRDefault="009070AB" w:rsidP="00FD1D44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HAnsi" w:hAnsiTheme="majorHAnsi" w:cs="MinionPro-Regular"/>
          <w:color w:val="000000"/>
          <w:sz w:val="30"/>
          <w:szCs w:val="30"/>
        </w:rPr>
      </w:pPr>
      <w:r w:rsidRPr="00FD1D44">
        <w:rPr>
          <w:rFonts w:asciiTheme="majorHAnsi" w:hAnsiTheme="majorHAnsi" w:cs="MinionPro-Regular"/>
          <w:noProof/>
          <w:color w:val="000000"/>
          <w:sz w:val="30"/>
          <w:szCs w:val="30"/>
        </w:rPr>
        <w:lastRenderedPageBreak/>
        <w:drawing>
          <wp:inline distT="0" distB="0" distL="0" distR="0">
            <wp:extent cx="5667375" cy="6668296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668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70AB" w:rsidRPr="00FD1D44" w:rsidSect="00BD53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5BF" w:rsidRDefault="009A45BF" w:rsidP="00210C0A">
      <w:pPr>
        <w:spacing w:after="0" w:line="240" w:lineRule="auto"/>
      </w:pPr>
      <w:r>
        <w:separator/>
      </w:r>
    </w:p>
  </w:endnote>
  <w:endnote w:type="continuationSeparator" w:id="1">
    <w:p w:rsidR="009A45BF" w:rsidRDefault="009A45BF" w:rsidP="0021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B2"/>
    <w:family w:val="roman"/>
    <w:notTrueType/>
    <w:pitch w:val="default"/>
    <w:sig w:usb0="00002001" w:usb1="00000000" w:usb2="00000000" w:usb3="00000000" w:csb0="00000040" w:csb1="00000000"/>
  </w:font>
  <w:font w:name="SymbolNew-Medium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inionPro-Bold">
    <w:panose1 w:val="00000000000000000000"/>
    <w:charset w:val="B2"/>
    <w:family w:val="roman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C0A" w:rsidRDefault="00210C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553313"/>
      <w:docPartObj>
        <w:docPartGallery w:val="Page Numbers (Bottom of Page)"/>
        <w:docPartUnique/>
      </w:docPartObj>
    </w:sdtPr>
    <w:sdtContent>
      <w:p w:rsidR="00210C0A" w:rsidRDefault="00ED2B45" w:rsidP="00210C0A">
        <w:pPr>
          <w:pStyle w:val="Footer"/>
          <w:bidi w:val="0"/>
          <w:jc w:val="center"/>
        </w:pPr>
        <w:fldSimple w:instr=" PAGE   \* MERGEFORMAT ">
          <w:r w:rsidR="004F7A84">
            <w:rPr>
              <w:noProof/>
            </w:rPr>
            <w:t>1</w:t>
          </w:r>
        </w:fldSimple>
      </w:p>
    </w:sdtContent>
  </w:sdt>
  <w:p w:rsidR="00210C0A" w:rsidRDefault="00210C0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C0A" w:rsidRDefault="00210C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5BF" w:rsidRDefault="009A45BF" w:rsidP="00210C0A">
      <w:pPr>
        <w:spacing w:after="0" w:line="240" w:lineRule="auto"/>
      </w:pPr>
      <w:r>
        <w:separator/>
      </w:r>
    </w:p>
  </w:footnote>
  <w:footnote w:type="continuationSeparator" w:id="1">
    <w:p w:rsidR="009A45BF" w:rsidRDefault="009A45BF" w:rsidP="0021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C0A" w:rsidRDefault="00210C0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416" w:rsidRPr="001E5416" w:rsidRDefault="001E5416" w:rsidP="004F7A84">
    <w:pPr>
      <w:pStyle w:val="Header"/>
      <w:rPr>
        <w:b/>
        <w:bCs/>
        <w:u w:val="single"/>
      </w:rPr>
    </w:pPr>
    <w:r w:rsidRPr="001E5416">
      <w:rPr>
        <w:b/>
        <w:bCs/>
        <w:u w:val="single"/>
      </w:rPr>
      <w:t>Clinical evaluation of</w:t>
    </w:r>
    <w:r w:rsidR="004F7A84">
      <w:rPr>
        <w:b/>
        <w:bCs/>
        <w:u w:val="single"/>
      </w:rPr>
      <w:t xml:space="preserve"> the </w:t>
    </w:r>
    <w:r w:rsidRPr="001E5416">
      <w:rPr>
        <w:b/>
        <w:bCs/>
        <w:u w:val="single"/>
      </w:rPr>
      <w:t>child with hematuria</w:t>
    </w:r>
  </w:p>
  <w:p w:rsidR="00210C0A" w:rsidRDefault="00210C0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C0A" w:rsidRDefault="00210C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02775"/>
    <w:multiLevelType w:val="hybridMultilevel"/>
    <w:tmpl w:val="4006A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3149"/>
    <w:rsid w:val="000010F8"/>
    <w:rsid w:val="00073BAB"/>
    <w:rsid w:val="00074FB6"/>
    <w:rsid w:val="000861E7"/>
    <w:rsid w:val="000C421F"/>
    <w:rsid w:val="000D180D"/>
    <w:rsid w:val="000F7762"/>
    <w:rsid w:val="00105CB8"/>
    <w:rsid w:val="001518EB"/>
    <w:rsid w:val="001B45F5"/>
    <w:rsid w:val="001D675C"/>
    <w:rsid w:val="001E5416"/>
    <w:rsid w:val="001F1D20"/>
    <w:rsid w:val="001F7913"/>
    <w:rsid w:val="00210C0A"/>
    <w:rsid w:val="002B24A7"/>
    <w:rsid w:val="002C41F9"/>
    <w:rsid w:val="002D6B53"/>
    <w:rsid w:val="003049A8"/>
    <w:rsid w:val="00373149"/>
    <w:rsid w:val="0037365D"/>
    <w:rsid w:val="003E7FE3"/>
    <w:rsid w:val="00474567"/>
    <w:rsid w:val="0048546C"/>
    <w:rsid w:val="004B633B"/>
    <w:rsid w:val="004C3753"/>
    <w:rsid w:val="004C4EB6"/>
    <w:rsid w:val="004D48EB"/>
    <w:rsid w:val="004D65B3"/>
    <w:rsid w:val="004F7A84"/>
    <w:rsid w:val="005172FB"/>
    <w:rsid w:val="00524F1A"/>
    <w:rsid w:val="005267E1"/>
    <w:rsid w:val="00551CED"/>
    <w:rsid w:val="005619C7"/>
    <w:rsid w:val="00586F7A"/>
    <w:rsid w:val="00597B93"/>
    <w:rsid w:val="005D1411"/>
    <w:rsid w:val="00625162"/>
    <w:rsid w:val="00660520"/>
    <w:rsid w:val="00667918"/>
    <w:rsid w:val="006E4596"/>
    <w:rsid w:val="007611B9"/>
    <w:rsid w:val="00781A38"/>
    <w:rsid w:val="007B0A9D"/>
    <w:rsid w:val="007B696A"/>
    <w:rsid w:val="007C51D6"/>
    <w:rsid w:val="007F4EBB"/>
    <w:rsid w:val="00825A47"/>
    <w:rsid w:val="008461CB"/>
    <w:rsid w:val="00885278"/>
    <w:rsid w:val="00894638"/>
    <w:rsid w:val="00897856"/>
    <w:rsid w:val="008C429A"/>
    <w:rsid w:val="008C5B26"/>
    <w:rsid w:val="009070AB"/>
    <w:rsid w:val="0091181C"/>
    <w:rsid w:val="009351E8"/>
    <w:rsid w:val="009A224E"/>
    <w:rsid w:val="009A45BF"/>
    <w:rsid w:val="00A16C87"/>
    <w:rsid w:val="00A42056"/>
    <w:rsid w:val="00A5500C"/>
    <w:rsid w:val="00AB0E82"/>
    <w:rsid w:val="00AB74A3"/>
    <w:rsid w:val="00B30E0E"/>
    <w:rsid w:val="00B45262"/>
    <w:rsid w:val="00B5087E"/>
    <w:rsid w:val="00B802BB"/>
    <w:rsid w:val="00B9772D"/>
    <w:rsid w:val="00BD53D6"/>
    <w:rsid w:val="00C00328"/>
    <w:rsid w:val="00C04758"/>
    <w:rsid w:val="00C636F0"/>
    <w:rsid w:val="00C74CC8"/>
    <w:rsid w:val="00CA4D0D"/>
    <w:rsid w:val="00D00209"/>
    <w:rsid w:val="00D056C0"/>
    <w:rsid w:val="00D062DE"/>
    <w:rsid w:val="00DA0270"/>
    <w:rsid w:val="00E125A3"/>
    <w:rsid w:val="00E24A8E"/>
    <w:rsid w:val="00EA1DFB"/>
    <w:rsid w:val="00EB2FCA"/>
    <w:rsid w:val="00ED2B45"/>
    <w:rsid w:val="00F079F0"/>
    <w:rsid w:val="00F525AD"/>
    <w:rsid w:val="00FA38E0"/>
    <w:rsid w:val="00FD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1B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D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45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C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C0A"/>
  </w:style>
  <w:style w:type="paragraph" w:styleId="Footer">
    <w:name w:val="footer"/>
    <w:basedOn w:val="Normal"/>
    <w:link w:val="FooterChar"/>
    <w:uiPriority w:val="99"/>
    <w:unhideWhenUsed/>
    <w:rsid w:val="00210C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C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ALBOSTAN</dc:creator>
  <cp:lastModifiedBy>ALBOSTAN</cp:lastModifiedBy>
  <cp:revision>86</cp:revision>
  <dcterms:created xsi:type="dcterms:W3CDTF">2018-05-12T18:54:00Z</dcterms:created>
  <dcterms:modified xsi:type="dcterms:W3CDTF">2018-05-31T08:04:00Z</dcterms:modified>
</cp:coreProperties>
</file>